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D67" w:rsidRDefault="00B276E4">
      <w:pPr>
        <w:pBdr>
          <w:top w:val="none" w:sz="0" w:space="0" w:color="auto"/>
          <w:left w:val="none" w:sz="0" w:space="0" w:color="auto"/>
          <w:bottom w:val="none" w:sz="0" w:space="0" w:color="auto"/>
          <w:right w:val="none" w:sz="0" w:space="0" w:color="auto"/>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rsidR="004B5D67" w:rsidRDefault="00B276E4" w:rsidP="00E419A3">
      <w:pPr>
        <w:keepNext/>
        <w:overflowPunct w:val="0"/>
        <w:autoSpaceDE w:val="0"/>
        <w:spacing w:before="120" w:after="240" w:line="240" w:lineRule="auto"/>
        <w:ind w:left="360"/>
        <w:rPr>
          <w:rFonts w:ascii="Arial" w:eastAsia="Arial" w:hAnsi="Arial" w:cs="Arial"/>
          <w:b/>
          <w:sz w:val="24"/>
          <w:szCs w:val="24"/>
        </w:rPr>
      </w:pPr>
      <w:r>
        <w:rPr>
          <w:rFonts w:ascii="Arial" w:eastAsia="Arial" w:hAnsi="Arial" w:cs="Arial"/>
          <w:b/>
          <w:sz w:val="24"/>
          <w:szCs w:val="24"/>
        </w:rPr>
        <w:t>Definitions</w:t>
      </w:r>
    </w:p>
    <w:tbl>
      <w:tblPr>
        <w:tblW w:w="8756" w:type="dxa"/>
        <w:tblInd w:w="270" w:type="dxa"/>
        <w:tblLayout w:type="fixed"/>
        <w:tblCellMar>
          <w:left w:w="10" w:type="dxa"/>
          <w:right w:w="10" w:type="dxa"/>
        </w:tblCellMar>
        <w:tblLook w:val="0000" w:firstRow="0" w:lastRow="0" w:firstColumn="0" w:lastColumn="0" w:noHBand="0" w:noVBand="0"/>
      </w:tblPr>
      <w:tblGrid>
        <w:gridCol w:w="2936"/>
        <w:gridCol w:w="5820"/>
      </w:tblGrid>
      <w:tr w:rsidR="004B5D67" w:rsidTr="00E419A3">
        <w:tc>
          <w:tcPr>
            <w:tcW w:w="293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4B5D67" w:rsidRDefault="00B276E4">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“Waste Hierarchy”</w:t>
            </w:r>
          </w:p>
        </w:tc>
        <w:tc>
          <w:tcPr>
            <w:tcW w:w="582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4B5D67" w:rsidRDefault="00B276E4">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means prioritisation of waste management in the following order of preference as set out in the Waste (England and Wales) Regulation 2011:</w:t>
            </w:r>
          </w:p>
          <w:p w:rsidR="004B5D67" w:rsidRDefault="00B276E4">
            <w:pPr>
              <w:numPr>
                <w:ilvl w:val="0"/>
                <w:numId w:val="7"/>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Prevention;</w:t>
            </w:r>
          </w:p>
          <w:p w:rsidR="004B5D67" w:rsidRDefault="00B276E4">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Preparing for re-use;</w:t>
            </w:r>
          </w:p>
          <w:p w:rsidR="004B5D67" w:rsidRDefault="00B276E4">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bookmarkStart w:id="1" w:name="_heading=h.30j0zll"/>
            <w:bookmarkEnd w:id="1"/>
            <w:r>
              <w:rPr>
                <w:rFonts w:ascii="Arial" w:eastAsia="Arial" w:hAnsi="Arial" w:cs="Arial"/>
                <w:sz w:val="24"/>
                <w:szCs w:val="24"/>
              </w:rPr>
              <w:t>Recycling;</w:t>
            </w:r>
            <w:bookmarkStart w:id="2" w:name="_GoBack"/>
            <w:bookmarkEnd w:id="2"/>
          </w:p>
          <w:p w:rsidR="004B5D67" w:rsidRDefault="00B276E4">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Other Recovery; and</w:t>
            </w:r>
          </w:p>
          <w:p w:rsidR="004B5D67" w:rsidRDefault="00B276E4">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Disposal.</w:t>
            </w:r>
          </w:p>
        </w:tc>
      </w:tr>
    </w:tbl>
    <w:p w:rsidR="004B5D67" w:rsidRDefault="00B276E4">
      <w:pPr>
        <w:keepNext/>
        <w:numPr>
          <w:ilvl w:val="0"/>
          <w:numId w:val="9"/>
        </w:numPr>
        <w:overflowPunct w:val="0"/>
        <w:autoSpaceDE w:val="0"/>
        <w:spacing w:before="120" w:after="240" w:line="240" w:lineRule="auto"/>
        <w:rPr>
          <w:rFonts w:ascii="Arial" w:eastAsia="Arial" w:hAnsi="Arial" w:cs="Arial"/>
          <w:b/>
          <w:sz w:val="24"/>
          <w:szCs w:val="24"/>
        </w:rPr>
      </w:pPr>
      <w:bookmarkStart w:id="3" w:name="_heading=h.1fob9te"/>
      <w:bookmarkStart w:id="4" w:name="_Ref141088797"/>
      <w:bookmarkEnd w:id="3"/>
      <w:r>
        <w:rPr>
          <w:rFonts w:ascii="Arial" w:eastAsia="Arial" w:hAnsi="Arial" w:cs="Arial"/>
          <w:b/>
          <w:sz w:val="24"/>
          <w:szCs w:val="24"/>
        </w:rPr>
        <w:t>Public Sector Equality Duty</w:t>
      </w:r>
      <w:bookmarkEnd w:id="4"/>
    </w:p>
    <w:p w:rsidR="004B5D67" w:rsidRDefault="00B276E4">
      <w:pPr>
        <w:keepNext/>
        <w:numPr>
          <w:ilvl w:val="1"/>
          <w:numId w:val="9"/>
        </w:numP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rsidR="004B5D67" w:rsidRDefault="00B276E4">
      <w:pPr>
        <w:keepNext/>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lastRenderedPageBreak/>
        <w:t>advance:</w:t>
      </w:r>
    </w:p>
    <w:p w:rsidR="004B5D67" w:rsidRDefault="00B276E4">
      <w:pPr>
        <w:numPr>
          <w:ilvl w:val="4"/>
          <w:numId w:val="10"/>
        </w:numP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 xml:space="preserve">equality of opportunity; and </w:t>
      </w:r>
    </w:p>
    <w:p w:rsidR="004B5D67" w:rsidRDefault="00B276E4">
      <w:pPr>
        <w:numPr>
          <w:ilvl w:val="4"/>
          <w:numId w:val="10"/>
        </w:numP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good relations,</w:t>
      </w:r>
    </w:p>
    <w:p w:rsidR="004B5D67" w:rsidRDefault="00B276E4">
      <w:pPr>
        <w:spacing w:before="120" w:after="120" w:line="240" w:lineRule="auto"/>
        <w:ind w:left="1701"/>
        <w:rPr>
          <w:rFonts w:ascii="Arial" w:eastAsia="Arial" w:hAnsi="Arial" w:cs="Arial"/>
          <w:sz w:val="24"/>
          <w:szCs w:val="24"/>
        </w:rPr>
      </w:pPr>
      <w:r>
        <w:rPr>
          <w:rFonts w:ascii="Arial" w:eastAsia="Arial" w:hAnsi="Arial" w:cs="Arial"/>
          <w:sz w:val="24"/>
          <w:szCs w:val="24"/>
        </w:rPr>
        <w:t>between those with a protected characteristic (age, disability, gender reassignment, pregnancy and maternity, race, religion or belief, sex, sexual orientation, and marriage and civil partnership) and those who do not share it.</w:t>
      </w:r>
    </w:p>
    <w:p w:rsidR="004B5D67" w:rsidRDefault="00B276E4">
      <w:pPr>
        <w:keepNext/>
        <w:numPr>
          <w:ilvl w:val="0"/>
          <w:numId w:val="9"/>
        </w:numPr>
        <w:overflowPunct w:val="0"/>
        <w:autoSpaceDE w:val="0"/>
        <w:spacing w:before="120" w:after="240" w:line="240" w:lineRule="auto"/>
        <w:rPr>
          <w:rFonts w:ascii="Arial" w:eastAsia="Arial" w:hAnsi="Arial" w:cs="Arial"/>
          <w:b/>
          <w:sz w:val="24"/>
          <w:szCs w:val="24"/>
        </w:rPr>
      </w:pPr>
      <w:bookmarkStart w:id="5" w:name="_heading=h.3znysh7"/>
      <w:bookmarkEnd w:id="5"/>
      <w:r>
        <w:rPr>
          <w:rFonts w:ascii="Arial" w:eastAsia="Arial" w:hAnsi="Arial" w:cs="Arial"/>
          <w:b/>
          <w:sz w:val="24"/>
          <w:szCs w:val="24"/>
        </w:rPr>
        <w:t>Employment Law</w:t>
      </w:r>
    </w:p>
    <w:p w:rsidR="004B5D67" w:rsidRDefault="00B276E4">
      <w:pP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rsidR="004B5D67" w:rsidRDefault="00B276E4">
      <w:pPr>
        <w:keepNext/>
        <w:numPr>
          <w:ilvl w:val="0"/>
          <w:numId w:val="9"/>
        </w:numPr>
        <w:overflowPunct w:val="0"/>
        <w:autoSpaceDE w:val="0"/>
        <w:spacing w:before="120" w:after="240" w:line="240" w:lineRule="auto"/>
        <w:rPr>
          <w:rFonts w:ascii="Arial" w:eastAsia="Arial" w:hAnsi="Arial" w:cs="Arial"/>
          <w:b/>
          <w:sz w:val="24"/>
          <w:szCs w:val="24"/>
        </w:rPr>
      </w:pPr>
      <w:bookmarkStart w:id="6" w:name="_heading=h.2et92p0"/>
      <w:bookmarkStart w:id="7" w:name="_Ref141088403"/>
      <w:bookmarkEnd w:id="6"/>
      <w:r>
        <w:rPr>
          <w:rFonts w:ascii="Arial" w:eastAsia="Arial" w:hAnsi="Arial" w:cs="Arial"/>
          <w:b/>
          <w:sz w:val="24"/>
          <w:szCs w:val="24"/>
        </w:rPr>
        <w:lastRenderedPageBreak/>
        <w:t>Modern Slavery</w:t>
      </w:r>
      <w:bookmarkEnd w:id="7"/>
    </w:p>
    <w:p w:rsidR="004B5D67" w:rsidRDefault="00B276E4">
      <w:pPr>
        <w:keepNext/>
        <w:numPr>
          <w:ilvl w:val="1"/>
          <w:numId w:val="9"/>
        </w:numPr>
        <w:tabs>
          <w:tab w:val="left" w:pos="1134"/>
        </w:tabs>
        <w:overflowPunct w:val="0"/>
        <w:autoSpaceDE w:val="0"/>
        <w:spacing w:before="120" w:after="120" w:line="240" w:lineRule="auto"/>
        <w:ind w:left="907" w:hanging="547"/>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notice;  </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warrants that to the best of its knowledge it is not currently under investigation, inquiry or enforcement proceedings in relation to any allegation of slavery or human trafficking offences anywhere around the world;</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 2015 and include in its contracts with its Subcontractors anti-slavery and human trafficking provisions;</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implement due diligence procedures to ensure that there is no slavery or human trafficking in any part of its supply chain performing obligations under this Contract;</w:t>
      </w:r>
    </w:p>
    <w:p w:rsidR="004B5D67" w:rsidRDefault="00B276E4" w:rsidP="00E419A3">
      <w:pPr>
        <w:numPr>
          <w:ilvl w:val="2"/>
          <w:numId w:val="9"/>
        </w:numPr>
        <w:tabs>
          <w:tab w:val="left" w:pos="1985"/>
        </w:tabs>
        <w:overflowPunct w:val="0"/>
        <w:autoSpaceDE w:val="0"/>
        <w:spacing w:before="120" w:after="120" w:line="240" w:lineRule="auto"/>
        <w:ind w:left="1757" w:hanging="850"/>
      </w:pPr>
      <w:r>
        <w:rPr>
          <w:rFonts w:ascii="Arial" w:eastAsia="Arial" w:hAnsi="Arial" w:cs="Arial"/>
          <w:sz w:val="24"/>
          <w:szCs w:val="24"/>
        </w:rPr>
        <w:t xml:space="preserve">shall prepare and deliver to the Buyer, an annual slavery and human trafficking report setting out the steps it has taken to ensure that slavery and human trafficking is not taking place in any of its </w:t>
      </w:r>
      <w:r>
        <w:rPr>
          <w:rFonts w:ascii="Arial" w:eastAsia="Arial" w:hAnsi="Arial" w:cs="Arial"/>
          <w:sz w:val="24"/>
          <w:szCs w:val="24"/>
        </w:rPr>
        <w:lastRenderedPageBreak/>
        <w:t>supply chains or in any part of its business with its annual certification of compliance with this Paragraph </w:t>
      </w:r>
      <w:r>
        <w:rPr>
          <w:rFonts w:ascii="Arial" w:eastAsia="Arial" w:hAnsi="Arial" w:cs="Arial"/>
          <w:sz w:val="24"/>
          <w:szCs w:val="24"/>
        </w:rPr>
        <w:fldChar w:fldCharType="begin"/>
      </w:r>
      <w:r>
        <w:rPr>
          <w:rFonts w:ascii="Arial" w:eastAsia="Arial" w:hAnsi="Arial" w:cs="Arial"/>
          <w:sz w:val="24"/>
          <w:szCs w:val="24"/>
        </w:rPr>
        <w:instrText xml:space="preserve"> REF _Ref141088403 </w:instrText>
      </w:r>
      <w:r>
        <w:rPr>
          <w:rFonts w:ascii="Arial" w:eastAsia="Arial" w:hAnsi="Arial" w:cs="Arial"/>
          <w:sz w:val="24"/>
          <w:szCs w:val="24"/>
        </w:rPr>
        <w:fldChar w:fldCharType="separate"/>
      </w:r>
      <w:r>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bookmarkEnd w:id="10"/>
    </w:p>
    <w:p w:rsidR="004B5D67" w:rsidRDefault="00B276E4">
      <w:pPr>
        <w:numPr>
          <w:ilvl w:val="2"/>
          <w:numId w:val="9"/>
        </w:numPr>
        <w:tabs>
          <w:tab w:val="left" w:pos="1985"/>
        </w:tabs>
        <w:overflowPunct w:val="0"/>
        <w:autoSpaceDE w:val="0"/>
        <w:spacing w:before="120" w:after="120" w:line="240" w:lineRule="auto"/>
        <w:ind w:left="1757" w:hanging="850"/>
      </w:pPr>
      <w:r>
        <w:rPr>
          <w:rFonts w:ascii="Arial" w:eastAsia="Arial" w:hAnsi="Arial" w:cs="Arial"/>
          <w:sz w:val="24"/>
          <w:szCs w:val="24"/>
        </w:rPr>
        <w:t xml:space="preserve">if the Supplier is in Default under Paragraphs </w:t>
      </w:r>
      <w:r>
        <w:rPr>
          <w:rFonts w:ascii="Arial" w:eastAsia="Arial" w:hAnsi="Arial" w:cs="Arial"/>
          <w:sz w:val="24"/>
          <w:szCs w:val="24"/>
        </w:rPr>
        <w:fldChar w:fldCharType="begin"/>
      </w:r>
      <w:r>
        <w:rPr>
          <w:rFonts w:ascii="Arial" w:eastAsia="Arial" w:hAnsi="Arial" w:cs="Arial"/>
          <w:sz w:val="24"/>
          <w:szCs w:val="24"/>
        </w:rPr>
        <w:instrText xml:space="preserve"> REF _Ref141088445 </w:instrText>
      </w:r>
      <w:r>
        <w:rPr>
          <w:rFonts w:ascii="Arial" w:eastAsia="Arial" w:hAnsi="Arial" w:cs="Arial"/>
          <w:sz w:val="24"/>
          <w:szCs w:val="24"/>
        </w:rPr>
        <w:fldChar w:fldCharType="separate"/>
      </w:r>
      <w:r>
        <w:rPr>
          <w:rFonts w:ascii="Arial" w:eastAsia="Arial" w:hAnsi="Arial" w:cs="Arial"/>
          <w:sz w:val="24"/>
          <w:szCs w:val="24"/>
        </w:rPr>
        <w:t>3.1.1</w:t>
      </w:r>
      <w:r>
        <w:rPr>
          <w:rFonts w:ascii="Arial" w:eastAsia="Arial" w:hAnsi="Arial" w:cs="Arial"/>
          <w:sz w:val="24"/>
          <w:szCs w:val="24"/>
        </w:rPr>
        <w:fldChar w:fldCharType="end"/>
      </w:r>
      <w:r>
        <w:rPr>
          <w:rFonts w:ascii="Arial" w:eastAsia="Arial" w:hAnsi="Arial" w:cs="Arial"/>
          <w:sz w:val="24"/>
          <w:szCs w:val="24"/>
        </w:rPr>
        <w:t xml:space="preserve"> to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rsidR="004B5D67" w:rsidRDefault="00B276E4">
      <w:pPr>
        <w:numPr>
          <w:ilvl w:val="4"/>
          <w:numId w:val="11"/>
        </w:numPr>
        <w:tabs>
          <w:tab w:val="left" w:pos="2610"/>
        </w:tabs>
        <w:overflowPunct w:val="0"/>
        <w:autoSpaceDE w:val="0"/>
        <w:spacing w:before="120" w:after="120" w:line="240" w:lineRule="auto"/>
        <w:ind w:left="2610" w:hanging="853"/>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rsidR="004B5D67" w:rsidRDefault="00B276E4">
      <w:pPr>
        <w:numPr>
          <w:ilvl w:val="4"/>
          <w:numId w:val="11"/>
        </w:numPr>
        <w:tabs>
          <w:tab w:val="left" w:pos="3119"/>
        </w:tabs>
        <w:overflowPunct w:val="0"/>
        <w:autoSpaceDE w:val="0"/>
        <w:spacing w:before="120" w:after="120" w:line="240" w:lineRule="auto"/>
        <w:ind w:left="2607" w:hanging="850"/>
      </w:pPr>
      <w:r>
        <w:rPr>
          <w:rFonts w:ascii="Arial" w:eastAsia="Arial" w:hAnsi="Arial" w:cs="Arial"/>
          <w:sz w:val="24"/>
          <w:szCs w:val="24"/>
        </w:rPr>
        <w:t xml:space="preserve">immediately terminate this Contract and the consequences of termination set out in Clause 14.5.1 of the Core Terms shall apply; and </w:t>
      </w:r>
    </w:p>
    <w:p w:rsidR="004B5D67" w:rsidRDefault="00B276E4">
      <w:pPr>
        <w:numPr>
          <w:ilvl w:val="2"/>
          <w:numId w:val="9"/>
        </w:numPr>
        <w:tabs>
          <w:tab w:val="left" w:pos="1985"/>
        </w:tabs>
        <w:overflowPunct w:val="0"/>
        <w:autoSpaceDE w:val="0"/>
        <w:spacing w:before="120" w:after="120" w:line="240" w:lineRule="auto"/>
        <w:ind w:left="1757" w:hanging="850"/>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rsidR="004B5D67" w:rsidRDefault="00B276E4">
      <w:pPr>
        <w:keepNext/>
        <w:numPr>
          <w:ilvl w:val="1"/>
          <w:numId w:val="9"/>
        </w:numPr>
        <w:tabs>
          <w:tab w:val="left" w:pos="1134"/>
        </w:tabs>
        <w:overflowPunct w:val="0"/>
        <w:autoSpaceDE w:val="0"/>
        <w:spacing w:before="120" w:after="120" w:line="240" w:lineRule="auto"/>
        <w:ind w:left="907" w:hanging="547"/>
      </w:pPr>
      <w:r>
        <w:rPr>
          <w:rFonts w:ascii="Arial" w:eastAsia="Arial" w:hAnsi="Arial" w:cs="Arial"/>
          <w:sz w:val="24"/>
          <w:szCs w:val="24"/>
        </w:rPr>
        <w:lastRenderedPageBreak/>
        <w:t>If the Supplier notifies the Buyer pursuant to Clause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this Contract.</w:t>
      </w:r>
    </w:p>
    <w:p w:rsidR="004B5D67" w:rsidRDefault="00B276E4">
      <w:pPr>
        <w:keepNext/>
        <w:numPr>
          <w:ilvl w:val="1"/>
          <w:numId w:val="9"/>
        </w:numPr>
        <w:tabs>
          <w:tab w:val="left" w:pos="1134"/>
        </w:tabs>
        <w:overflowPunct w:val="0"/>
        <w:autoSpaceDE w:val="0"/>
        <w:spacing w:before="120" w:after="120" w:line="240" w:lineRule="auto"/>
        <w:ind w:left="907" w:hanging="547"/>
      </w:pPr>
      <w:bookmarkStart w:id="11" w:name="_heading=h.2ijv8qh"/>
      <w:bookmarkEnd w:id="11"/>
      <w:r>
        <w:rPr>
          <w:rFonts w:ascii="Arial" w:eastAsia="Arial" w:hAnsi="Arial" w:cs="Arial"/>
          <w:sz w:val="24"/>
          <w:szCs w:val="24"/>
        </w:rPr>
        <w:t>If the Supplier is in Default under Paragraph </w:t>
      </w:r>
      <w:r>
        <w:rPr>
          <w:rFonts w:ascii="Arial" w:eastAsia="Arial" w:hAnsi="Arial" w:cs="Arial"/>
          <w:sz w:val="24"/>
          <w:szCs w:val="24"/>
        </w:rPr>
        <w:fldChar w:fldCharType="begin"/>
      </w:r>
      <w:r>
        <w:rPr>
          <w:rFonts w:ascii="Arial" w:eastAsia="Arial" w:hAnsi="Arial" w:cs="Arial"/>
          <w:sz w:val="24"/>
          <w:szCs w:val="24"/>
        </w:rPr>
        <w:instrText xml:space="preserve"> REF _Ref141088467 </w:instrText>
      </w:r>
      <w:r>
        <w:rPr>
          <w:rFonts w:ascii="Arial" w:eastAsia="Arial" w:hAnsi="Arial" w:cs="Arial"/>
          <w:sz w:val="24"/>
          <w:szCs w:val="24"/>
        </w:rPr>
        <w:fldChar w:fldCharType="separate"/>
      </w:r>
      <w:r>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[Guidance: Include if Optional paragraph </w:t>
      </w:r>
      <w:r>
        <w:rPr>
          <w:rFonts w:ascii="Arial" w:eastAsia="Arial" w:hAnsi="Arial" w:cs="Arial"/>
          <w:sz w:val="24"/>
          <w:szCs w:val="24"/>
        </w:rPr>
        <w:fldChar w:fldCharType="begin"/>
      </w:r>
      <w:r>
        <w:rPr>
          <w:rFonts w:ascii="Arial" w:eastAsia="Arial" w:hAnsi="Arial" w:cs="Arial"/>
          <w:sz w:val="24"/>
          <w:szCs w:val="24"/>
        </w:rPr>
        <w:instrText xml:space="preserve"> REF _Ref141088526 </w:instrText>
      </w:r>
      <w:r>
        <w:rPr>
          <w:rFonts w:ascii="Arial" w:eastAsia="Arial" w:hAnsi="Arial" w:cs="Arial"/>
          <w:sz w:val="24"/>
          <w:szCs w:val="24"/>
        </w:rPr>
        <w:fldChar w:fldCharType="separate"/>
      </w:r>
      <w:r>
        <w:rPr>
          <w:rFonts w:ascii="Arial" w:eastAsia="Arial" w:hAnsi="Arial" w:cs="Arial"/>
          <w:sz w:val="24"/>
          <w:szCs w:val="24"/>
        </w:rPr>
        <w:t>3.3</w:t>
      </w:r>
      <w:r>
        <w:rPr>
          <w:rFonts w:ascii="Arial" w:eastAsia="Arial" w:hAnsi="Arial" w:cs="Arial"/>
          <w:sz w:val="24"/>
          <w:szCs w:val="24"/>
        </w:rPr>
        <w:fldChar w:fldCharType="end"/>
      </w:r>
      <w:r>
        <w:rPr>
          <w:rFonts w:ascii="Arial" w:eastAsia="Arial" w:hAnsi="Arial" w:cs="Arial"/>
          <w:sz w:val="24"/>
          <w:szCs w:val="24"/>
        </w:rPr>
        <w:t xml:space="preserve"> of Part </w:t>
      </w:r>
      <w:r>
        <w:rPr>
          <w:rFonts w:ascii="Arial" w:eastAsia="Arial" w:hAnsi="Arial" w:cs="Arial"/>
          <w:sz w:val="24"/>
          <w:szCs w:val="24"/>
        </w:rPr>
        <w:fldChar w:fldCharType="begin"/>
      </w:r>
      <w:r>
        <w:rPr>
          <w:rFonts w:ascii="Arial" w:eastAsia="Arial" w:hAnsi="Arial" w:cs="Arial"/>
          <w:sz w:val="24"/>
          <w:szCs w:val="24"/>
        </w:rPr>
        <w:instrText xml:space="preserve"> REF Part_B </w:instrText>
      </w:r>
      <w:r>
        <w:rPr>
          <w:rFonts w:ascii="Arial" w:eastAsia="Arial" w:hAnsi="Arial" w:cs="Arial"/>
          <w:sz w:val="24"/>
          <w:szCs w:val="24"/>
        </w:rPr>
        <w:fldChar w:fldCharType="separate"/>
      </w:r>
      <w:r>
        <w:rPr>
          <w:rFonts w:ascii="Arial" w:eastAsia="Arial" w:hAnsi="Arial" w:cs="Arial"/>
          <w:sz w:val="24"/>
          <w:szCs w:val="24"/>
        </w:rPr>
        <w:t>B</w:t>
      </w:r>
      <w:r>
        <w:rPr>
          <w:rFonts w:ascii="Arial" w:eastAsia="Arial" w:hAnsi="Arial" w:cs="Arial"/>
          <w:sz w:val="24"/>
          <w:szCs w:val="24"/>
        </w:rPr>
        <w:fldChar w:fldCharType="end"/>
      </w:r>
      <w:r>
        <w:rPr>
          <w:rFonts w:ascii="Arial" w:eastAsia="Arial" w:hAnsi="Arial" w:cs="Arial"/>
          <w:sz w:val="24"/>
          <w:szCs w:val="24"/>
        </w:rPr>
        <w:t xml:space="preserve"> of this Schedule is included or Paragraph </w:t>
      </w:r>
      <w:r>
        <w:rPr>
          <w:rFonts w:ascii="Arial" w:eastAsia="Arial" w:hAnsi="Arial" w:cs="Arial"/>
          <w:sz w:val="24"/>
          <w:szCs w:val="24"/>
        </w:rPr>
        <w:fldChar w:fldCharType="begin"/>
      </w:r>
      <w:r>
        <w:rPr>
          <w:rFonts w:ascii="Arial" w:eastAsia="Arial" w:hAnsi="Arial" w:cs="Arial"/>
          <w:sz w:val="24"/>
          <w:szCs w:val="24"/>
        </w:rPr>
        <w:instrText xml:space="preserve"> REF _Ref141088526 </w:instrText>
      </w:r>
      <w:r>
        <w:rPr>
          <w:rFonts w:ascii="Arial" w:eastAsia="Arial" w:hAnsi="Arial" w:cs="Arial"/>
          <w:sz w:val="24"/>
          <w:szCs w:val="24"/>
        </w:rPr>
        <w:fldChar w:fldCharType="separate"/>
      </w:r>
      <w:r>
        <w:rPr>
          <w:rFonts w:ascii="Arial" w:eastAsia="Arial" w:hAnsi="Arial" w:cs="Arial"/>
          <w:sz w:val="24"/>
          <w:szCs w:val="24"/>
        </w:rPr>
        <w:t>3.3</w:t>
      </w:r>
      <w:r>
        <w:rPr>
          <w:rFonts w:ascii="Arial" w:eastAsia="Arial" w:hAnsi="Arial" w:cs="Arial"/>
          <w:sz w:val="24"/>
          <w:szCs w:val="24"/>
        </w:rPr>
        <w:fldChar w:fldCharType="end"/>
      </w:r>
      <w:r>
        <w:rPr>
          <w:rFonts w:ascii="Arial" w:eastAsia="Arial" w:hAnsi="Arial" w:cs="Arial"/>
          <w:sz w:val="24"/>
          <w:szCs w:val="24"/>
        </w:rPr>
        <w:t xml:space="preserve"> of Part </w:t>
      </w:r>
      <w:r>
        <w:rPr>
          <w:rFonts w:ascii="Arial" w:eastAsia="Arial" w:hAnsi="Arial" w:cs="Arial"/>
          <w:sz w:val="24"/>
          <w:szCs w:val="24"/>
        </w:rPr>
        <w:fldChar w:fldCharType="begin"/>
      </w:r>
      <w:r>
        <w:rPr>
          <w:rFonts w:ascii="Arial" w:eastAsia="Arial" w:hAnsi="Arial" w:cs="Arial"/>
          <w:sz w:val="24"/>
          <w:szCs w:val="24"/>
        </w:rPr>
        <w:instrText xml:space="preserve"> REF Part_B </w:instrText>
      </w:r>
      <w:r>
        <w:rPr>
          <w:rFonts w:ascii="Arial" w:eastAsia="Arial" w:hAnsi="Arial" w:cs="Arial"/>
          <w:sz w:val="24"/>
          <w:szCs w:val="24"/>
        </w:rPr>
        <w:fldChar w:fldCharType="separate"/>
      </w:r>
      <w:r>
        <w:rPr>
          <w:rFonts w:ascii="Arial" w:eastAsia="Arial" w:hAnsi="Arial" w:cs="Arial"/>
          <w:sz w:val="24"/>
          <w:szCs w:val="24"/>
        </w:rPr>
        <w:t>B</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the Buyer may by notice:</w:t>
      </w:r>
    </w:p>
    <w:p w:rsidR="004B5D67" w:rsidRDefault="00B276E4">
      <w:pPr>
        <w:numPr>
          <w:ilvl w:val="2"/>
          <w:numId w:val="9"/>
        </w:numPr>
        <w:tabs>
          <w:tab w:val="left" w:pos="1985"/>
        </w:tabs>
        <w:overflowPunct w:val="0"/>
        <w:autoSpaceDE w:val="0"/>
        <w:spacing w:before="120" w:after="120" w:line="240" w:lineRule="auto"/>
        <w:ind w:left="1757" w:hanging="850"/>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rsidR="004B5D67" w:rsidRDefault="00B276E4">
      <w:pPr>
        <w:numPr>
          <w:ilvl w:val="2"/>
          <w:numId w:val="9"/>
        </w:numPr>
        <w:tabs>
          <w:tab w:val="left" w:pos="1985"/>
        </w:tabs>
        <w:overflowPunct w:val="0"/>
        <w:autoSpaceDE w:val="0"/>
        <w:spacing w:before="120" w:after="120" w:line="240" w:lineRule="auto"/>
        <w:ind w:left="1757" w:hanging="850"/>
      </w:pPr>
      <w:r>
        <w:rPr>
          <w:rFonts w:ascii="Arial" w:eastAsia="Arial" w:hAnsi="Arial" w:cs="Arial"/>
          <w:sz w:val="24"/>
          <w:szCs w:val="24"/>
        </w:rPr>
        <w:t>immediately terminate this Contract and the consequences of termination set out in Clause 14.5.1 of the Core Terms shall apply.</w:t>
      </w:r>
    </w:p>
    <w:p w:rsidR="004B5D67" w:rsidRDefault="00B276E4">
      <w:pPr>
        <w:keepNext/>
        <w:numPr>
          <w:ilvl w:val="0"/>
          <w:numId w:val="9"/>
        </w:numPr>
        <w:overflowPunct w:val="0"/>
        <w:autoSpaceDE w:val="0"/>
        <w:spacing w:before="120" w:after="240" w:line="240" w:lineRule="auto"/>
        <w:rPr>
          <w:rFonts w:ascii="Arial" w:eastAsia="Arial" w:hAnsi="Arial" w:cs="Arial"/>
          <w:b/>
          <w:sz w:val="24"/>
          <w:szCs w:val="24"/>
        </w:rPr>
      </w:pPr>
      <w:bookmarkStart w:id="12" w:name="_heading=h.tyjcwt"/>
      <w:bookmarkEnd w:id="12"/>
      <w:r>
        <w:rPr>
          <w:rFonts w:ascii="Arial" w:eastAsia="Arial" w:hAnsi="Arial" w:cs="Arial"/>
          <w:b/>
          <w:sz w:val="24"/>
          <w:szCs w:val="24"/>
        </w:rPr>
        <w:lastRenderedPageBreak/>
        <w:t>Environmental Requirements</w:t>
      </w:r>
    </w:p>
    <w:p w:rsidR="004B5D67" w:rsidRDefault="00B276E4">
      <w:pPr>
        <w:keepNext/>
        <w:numPr>
          <w:ilvl w:val="1"/>
          <w:numId w:val="9"/>
        </w:numP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rsidR="004B5D67" w:rsidRDefault="00B276E4">
      <w:pPr>
        <w:keepNext/>
        <w:numPr>
          <w:ilvl w:val="1"/>
          <w:numId w:val="9"/>
        </w:numP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where applicable to this Contract, to the reasonable satisfaction of the Buyer:</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4B5D67" w:rsidRDefault="00B276E4">
      <w:pPr>
        <w:numPr>
          <w:ilvl w:val="2"/>
          <w:numId w:val="9"/>
        </w:numP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4B5D67" w:rsidRDefault="00B276E4">
      <w:pPr>
        <w:keepNext/>
        <w:numPr>
          <w:ilvl w:val="1"/>
          <w:numId w:val="9"/>
        </w:numP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4B5D67" w:rsidRDefault="00B276E4">
      <w:pPr>
        <w:keepNext/>
        <w:numPr>
          <w:ilvl w:val="1"/>
          <w:numId w:val="9"/>
        </w:numP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In performing its obligations under this Contract, the Supplier shall to the reasonable satisfaction of the Buyer (where the anticipated Charges in any </w:t>
      </w:r>
      <w:r>
        <w:rPr>
          <w:rFonts w:ascii="Arial" w:eastAsia="Arial" w:hAnsi="Arial" w:cs="Arial"/>
          <w:sz w:val="24"/>
          <w:szCs w:val="24"/>
        </w:rPr>
        <w:lastRenderedPageBreak/>
        <w:t>Contract Year are above £5 million per annum (excluding VAT)), where related to and proportionate to the contract in accordance with PPN 06/21), publish and maintain a credible Carbon Reduction Plan in accordance with PPN 06/21.</w:t>
      </w:r>
    </w:p>
    <w:p w:rsidR="004B5D67" w:rsidRDefault="00B276E4">
      <w:pPr>
        <w:keepNext/>
        <w:numPr>
          <w:ilvl w:val="1"/>
          <w:numId w:val="9"/>
        </w:numPr>
        <w:tabs>
          <w:tab w:val="left" w:pos="1134"/>
        </w:tabs>
        <w:overflowPunct w:val="0"/>
        <w:autoSpaceDE w:val="0"/>
        <w:spacing w:before="120" w:after="120" w:line="240" w:lineRule="auto"/>
        <w:ind w:left="907" w:hanging="547"/>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rsidR="004B5D67" w:rsidRDefault="000C3F70">
      <w:pPr>
        <w:keepNext/>
        <w:spacing w:before="120" w:after="240" w:line="240" w:lineRule="auto"/>
        <w:ind w:left="907"/>
      </w:pPr>
      <w:hyperlink r:id="rId7" w:history="1">
        <w:r w:rsidR="00B276E4">
          <w:rPr>
            <w:rFonts w:ascii="Arial" w:eastAsia="Arial" w:hAnsi="Arial" w:cs="Arial"/>
            <w:i/>
            <w:color w:val="0563C1"/>
            <w:sz w:val="24"/>
            <w:szCs w:val="24"/>
            <w:u w:val="single"/>
          </w:rPr>
          <w:t>https://www.gov.uk/government/collections/sustainable-procurement-the-government-buying-standards-gbs</w:t>
        </w:r>
      </w:hyperlink>
      <w:r w:rsidR="00B276E4">
        <w:rPr>
          <w:rFonts w:ascii="Arial" w:eastAsia="Arial" w:hAnsi="Arial" w:cs="Arial"/>
          <w:i/>
          <w:color w:val="0563C1"/>
          <w:sz w:val="24"/>
          <w:szCs w:val="24"/>
          <w:u w:val="single"/>
        </w:rPr>
        <w:t>.</w:t>
      </w:r>
    </w:p>
    <w:p w:rsidR="004B5D67" w:rsidRDefault="00B276E4">
      <w:pPr>
        <w:keepNext/>
        <w:numPr>
          <w:ilvl w:val="0"/>
          <w:numId w:val="9"/>
        </w:numPr>
        <w:overflowPunct w:val="0"/>
        <w:autoSpaceDE w:val="0"/>
        <w:spacing w:before="120" w:after="240" w:line="240" w:lineRule="auto"/>
        <w:rPr>
          <w:rFonts w:ascii="Arial" w:eastAsia="Arial" w:hAnsi="Arial" w:cs="Arial"/>
          <w:b/>
          <w:sz w:val="24"/>
          <w:szCs w:val="24"/>
        </w:rPr>
      </w:pPr>
      <w:bookmarkStart w:id="13" w:name="_heading=h.3dy6vkm"/>
      <w:bookmarkStart w:id="14" w:name="_Ref141088806"/>
      <w:bookmarkEnd w:id="13"/>
      <w:r>
        <w:rPr>
          <w:rFonts w:ascii="Arial" w:eastAsia="Arial" w:hAnsi="Arial" w:cs="Arial"/>
          <w:b/>
          <w:sz w:val="24"/>
          <w:szCs w:val="24"/>
        </w:rPr>
        <w:t>Supplier Code of Conduct</w:t>
      </w:r>
      <w:bookmarkEnd w:id="14"/>
    </w:p>
    <w:p w:rsidR="004B5D67" w:rsidRDefault="00B276E4">
      <w:pPr>
        <w:keepNext/>
        <w:numPr>
          <w:ilvl w:val="1"/>
          <w:numId w:val="9"/>
        </w:numP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rsidR="004B5D67" w:rsidRDefault="000C3F70">
      <w:pPr>
        <w:spacing w:before="120" w:after="120" w:line="240" w:lineRule="auto"/>
        <w:ind w:left="936"/>
      </w:pPr>
      <w:hyperlink r:id="rId8" w:history="1">
        <w:r w:rsidR="00B276E4">
          <w:rPr>
            <w:rFonts w:ascii="Arial" w:eastAsia="Arial" w:hAnsi="Arial" w:cs="Arial"/>
            <w:sz w:val="24"/>
            <w:szCs w:val="24"/>
          </w:rPr>
          <w:t>https://assets.publishing.service.gov.uk/government/uploads/system/uploads/attachment_data/file/1163536/Supplier_Code_of_Conduct_v3.pdf</w:t>
        </w:r>
      </w:hyperlink>
      <w:r w:rsidR="00B276E4">
        <w:rPr>
          <w:rFonts w:ascii="Arial" w:eastAsia="Arial" w:hAnsi="Arial" w:cs="Arial"/>
          <w:sz w:val="24"/>
          <w:szCs w:val="24"/>
        </w:rPr>
        <w:t xml:space="preserve"> </w:t>
      </w:r>
    </w:p>
    <w:p w:rsidR="004B5D67" w:rsidRDefault="00B276E4">
      <w:pP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rsidR="004B5D67" w:rsidRDefault="00B276E4">
      <w:pPr>
        <w:keepNext/>
        <w:keepLines/>
        <w:numPr>
          <w:ilvl w:val="0"/>
          <w:numId w:val="9"/>
        </w:numP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lastRenderedPageBreak/>
        <w:t>Reporting</w:t>
      </w:r>
    </w:p>
    <w:p w:rsidR="004B5D67" w:rsidRDefault="00B276E4">
      <w:pPr>
        <w:keepNext/>
        <w:keepLines/>
        <w:spacing w:before="120" w:after="120" w:line="240" w:lineRule="auto"/>
        <w:ind w:left="360"/>
      </w:pPr>
      <w:r>
        <w:rPr>
          <w:rFonts w:ascii="Arial" w:eastAsia="Arial" w:hAnsi="Arial" w:cs="Arial"/>
          <w:sz w:val="24"/>
          <w:szCs w:val="24"/>
        </w:rPr>
        <w:t>The Supplier shall comply with reasonable requests by the Buyer for information evidencing compliance with any of the requirements in Paragraphs </w:t>
      </w:r>
      <w:r>
        <w:rPr>
          <w:rFonts w:ascii="Arial" w:eastAsia="Arial" w:hAnsi="Arial" w:cs="Arial"/>
          <w:sz w:val="24"/>
          <w:szCs w:val="24"/>
        </w:rPr>
        <w:fldChar w:fldCharType="begin"/>
      </w:r>
      <w:r>
        <w:rPr>
          <w:rFonts w:ascii="Arial" w:eastAsia="Arial" w:hAnsi="Arial" w:cs="Arial"/>
          <w:sz w:val="24"/>
          <w:szCs w:val="24"/>
        </w:rPr>
        <w:instrText xml:space="preserve"> REF _Ref141088797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w:t>
      </w:r>
      <w:r>
        <w:rPr>
          <w:rFonts w:ascii="Arial" w:eastAsia="Arial" w:hAnsi="Arial" w:cs="Arial"/>
          <w:sz w:val="24"/>
          <w:szCs w:val="24"/>
        </w:rPr>
        <w:fldChar w:fldCharType="begin"/>
      </w:r>
      <w:r>
        <w:rPr>
          <w:rFonts w:ascii="Arial" w:eastAsia="Arial" w:hAnsi="Arial" w:cs="Arial"/>
          <w:sz w:val="24"/>
          <w:szCs w:val="24"/>
        </w:rPr>
        <w:instrText xml:space="preserve"> REF _Ref141088806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 (2)] per requirement per Contract Year].</w:t>
      </w:r>
    </w:p>
    <w:p w:rsidR="004B5D67" w:rsidRDefault="004B5D67">
      <w:pPr>
        <w:rPr>
          <w:rFonts w:ascii="Arial" w:eastAsia="Arial" w:hAnsi="Arial" w:cs="Arial"/>
          <w:sz w:val="24"/>
          <w:szCs w:val="24"/>
        </w:rPr>
      </w:pPr>
    </w:p>
    <w:sectPr w:rsidR="004B5D67">
      <w:headerReference w:type="default" r:id="rId9"/>
      <w:footerReference w:type="defaul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F70" w:rsidRDefault="000C3F70">
      <w:pPr>
        <w:spacing w:after="0" w:line="240" w:lineRule="auto"/>
      </w:pPr>
      <w:r>
        <w:separator/>
      </w:r>
    </w:p>
  </w:endnote>
  <w:endnote w:type="continuationSeparator" w:id="0">
    <w:p w:rsidR="000C3F70" w:rsidRDefault="000C3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B5" w:rsidRDefault="00B276E4">
    <w:pPr>
      <w:tabs>
        <w:tab w:val="center" w:pos="4513"/>
        <w:tab w:val="right" w:pos="9026"/>
      </w:tabs>
      <w:spacing w:after="0"/>
    </w:pPr>
    <w:r>
      <w:rPr>
        <w:noProof/>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10210803</wp:posOffset>
              </wp:positionV>
              <wp:extent cx="7569832" cy="282577"/>
              <wp:effectExtent l="0" t="0" r="0" b="3173"/>
              <wp:wrapNone/>
              <wp:docPr id="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832" cy="282577"/>
                      </a:xfrm>
                      <a:prstGeom prst="rect">
                        <a:avLst/>
                      </a:prstGeom>
                      <a:noFill/>
                      <a:ln cap="flat">
                        <a:noFill/>
                        <a:prstDash val="solid"/>
                      </a:ln>
                    </wps:spPr>
                    <wps:txbx>
                      <w:txbxContent>
                        <w:p w:rsidR="009269B5" w:rsidRDefault="000C3F70">
                          <w:pPr>
                            <w:spacing w:after="0" w:line="273" w:lineRule="auto"/>
                            <w:jc w:val="center"/>
                          </w:pPr>
                        </w:p>
                      </w:txbxContent>
                    </wps:txbx>
                    <wps:bodyPr vert="horz" wrap="square" lIns="91421" tIns="0" rIns="91421" bIns="0" anchor="b" anchorCtr="0" compatLnSpc="0">
                      <a:noAutofit/>
                    </wps:bodyPr>
                  </wps:wsp>
                </a:graphicData>
              </a:graphic>
            </wp:anchor>
          </w:drawing>
        </mc:Choice>
        <mc:Fallback>
          <w:pict>
            <v:rect id="Rectangle 2" o:spid="_x0000_s1026" alt="{&quot;HashCode&quot;:-1264847310,&quot;Height&quot;:841.0,&quot;Width&quot;:595.0,&quot;Placement&quot;:&quot;Footer&quot;,&quot;Index&quot;:&quot;Primary&quot;,&quot;Section&quot;:1,&quot;Top&quot;:0.0,&quot;Left&quot;:0.0}" style="position:absolute;margin-left:-1in;margin-top:804pt;width:596.05pt;height:22.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5WbSwIAAIEEAAAOAAAAZHJzL2Uyb0RvYy54bWysVEuP2jAQvlfqf7B86KlLIAsLpIRVtYh2&#10;JdSislXPg+MQS47ttQ2EVv3vHSeGpe2t6sXxPPzN65vM7ptakgO3TmiV00GvTwlXTBdC7XL69Wl5&#10;M6HEeVAFSK14Tk/c0fv561ezo8l4qistC24JgiiXHU1OK+9NliSOVbwG19OGKzSW2tbgUbS7pLBw&#10;RPRaJmm/f5cctS2M1Yw7h9pFZ6TzFr8sOfOfy9JxT2ROMTffnrY9t+FM5jPIdhZMJVhMA/4hixqE&#10;wqAXqAV4IHsr/oKqBbPa6dL3mK4TXZaC8bYGrGbQ/6OaTQWGt7Vgc5y5tMn9P1j26bC2RBQ4O0oU&#10;1DiiL9g0UDvJSUpJwR3Ddv1487zX/t1HcNWDLngnZTeD9G44GY5vB/230YGLXeWjeTJEPkTDN1H4&#10;KupH09FFv5bAeM3V+U3nstTac9vdI8CjKngTAbrP2ooa7Ok3rw3mjkyMfoP49kmbqOlfAq94eY6J&#10;yp+BCEfjMuzHxqxtlBxew1Sb0tbhi/MiTUue04U8vPGEoXI8uptObrFlDG3pJB2NxwE0eXltrPMf&#10;uK5JuOTUYq4tZ+Cwcr5zPbuEYEovhZSoh0wqwgC3o5TQPbmyhScLnAs5AHLcaSmKGFcqDB+K6soI&#10;N99sm1jbVhcnHD3uLuZSafudkiPuAUI878FySuSjQqJNB8MUqeFbATfIXmu3Zy0ohhA53VLSXR88&#10;SuiOLDfgV2pjWJC7ut7vvS5FW3JIqssk5oo8b5sWdzIs0rXcer38Oea/AAAA//8DAFBLAwQUAAYA&#10;CAAAACEAB5tutOAAAAAPAQAADwAAAGRycy9kb3ducmV2LnhtbEyPwU7DMBBE70j8g7VI3Fo7VVJF&#10;IU6FQJx6aqk4u7ETR9jrELtt+vdsTnDb3RnNvql3s3fsaqY4BJSQrQUwg23QA/YSTp8fqxJYTAq1&#10;cgGNhLuJsGseH2pV6XDDg7keU88oBGOlJNiUxorz2FrjVVyH0SBpXZi8SrROPdeTulG4d3wjxJZ7&#10;NSB9sGo0b9a038eLl6DxpzvY4n7q3JB/6Qn3oXjfS/n8NL++AEtmTn9mWPAJHRpiOocL6sichFWW&#10;51QmkbIVJU2LR+RlBuy83IpNAbyp+f8ezS8AAAD//wMAUEsBAi0AFAAGAAgAAAAhALaDOJL+AAAA&#10;4QEAABMAAAAAAAAAAAAAAAAAAAAAAFtDb250ZW50X1R5cGVzXS54bWxQSwECLQAUAAYACAAAACEA&#10;OP0h/9YAAACUAQAACwAAAAAAAAAAAAAAAAAvAQAAX3JlbHMvLnJlbHNQSwECLQAUAAYACAAAACEA&#10;Ru+Vm0sCAACBBAAADgAAAAAAAAAAAAAAAAAuAgAAZHJzL2Uyb0RvYy54bWxQSwECLQAUAAYACAAA&#10;ACEAB5tutOAAAAAPAQAADwAAAAAAAAAAAAAAAAClBAAAZHJzL2Rvd25yZXYueG1sUEsFBgAAAAAE&#10;AAQA8wAAALIFAAAAAA==&#10;" filled="f" stroked="f">
              <v:textbox inset="2.53947mm,0,2.53947mm,0">
                <w:txbxContent>
                  <w:p w:rsidR="009269B5" w:rsidRDefault="00B276E4">
                    <w:pPr>
                      <w:spacing w:after="0" w:line="273"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rsidR="009269B5" w:rsidRDefault="000C3F70">
    <w:pPr>
      <w:tabs>
        <w:tab w:val="center" w:pos="4513"/>
        <w:tab w:val="right" w:pos="9026"/>
      </w:tabs>
      <w:spacing w:after="0" w:line="240" w:lineRule="auto"/>
      <w:rPr>
        <w:rFonts w:ascii="Arial" w:eastAsia="Arial" w:hAnsi="Arial" w:cs="Arial"/>
        <w:sz w:val="20"/>
        <w:szCs w:val="20"/>
      </w:rPr>
    </w:pPr>
    <w:bookmarkStart w:id="15" w:name="bookmark=id.4d34og8"/>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F70" w:rsidRDefault="000C3F70">
      <w:pPr>
        <w:spacing w:after="0" w:line="240" w:lineRule="auto"/>
      </w:pPr>
      <w:r>
        <w:separator/>
      </w:r>
    </w:p>
  </w:footnote>
  <w:footnote w:type="continuationSeparator" w:id="0">
    <w:p w:rsidR="000C3F70" w:rsidRDefault="000C3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9B5" w:rsidRDefault="00B276E4">
    <w:pPr>
      <w:tabs>
        <w:tab w:val="center" w:pos="4513"/>
        <w:tab w:val="right" w:pos="9026"/>
      </w:tabs>
      <w:spacing w:after="0" w:line="240" w:lineRule="auto"/>
      <w:rPr>
        <w:rFonts w:ascii="Arial" w:eastAsia="Arial" w:hAnsi="Arial" w:cs="Arial"/>
        <w:bCs/>
        <w:sz w:val="20"/>
        <w:szCs w:val="20"/>
      </w:rPr>
    </w:pPr>
    <w:r>
      <w:rPr>
        <w:rFonts w:ascii="Arial" w:eastAsia="Arial" w:hAnsi="Arial" w:cs="Arial"/>
        <w:bCs/>
        <w:sz w:val="20"/>
        <w:szCs w:val="20"/>
      </w:rPr>
      <w:t xml:space="preserve">Schedule 26 (Sustainability), Crown Copyright 2023, </w:t>
    </w:r>
    <w:r w:rsidR="00832C66" w:rsidRPr="00832C66">
      <w:rPr>
        <w:rFonts w:ascii="Arial" w:eastAsia="Arial" w:hAnsi="Arial" w:cs="Arial"/>
        <w:bCs/>
        <w:sz w:val="20"/>
        <w:szCs w:val="20"/>
      </w:rPr>
      <w:t>RM6385 Energy Trading and Risk Management (ETRM)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66DCA"/>
    <w:multiLevelType w:val="multilevel"/>
    <w:tmpl w:val="58C60FE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 w15:restartNumberingAfterBreak="0">
    <w:nsid w:val="1477520C"/>
    <w:multiLevelType w:val="multilevel"/>
    <w:tmpl w:val="A2DC5B7C"/>
    <w:styleLink w:val="CurrentList3"/>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646A3B"/>
    <w:multiLevelType w:val="multilevel"/>
    <w:tmpl w:val="28E8CC10"/>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3" w15:restartNumberingAfterBreak="0">
    <w:nsid w:val="44BA5685"/>
    <w:multiLevelType w:val="multilevel"/>
    <w:tmpl w:val="FC666792"/>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7A12688"/>
    <w:multiLevelType w:val="multilevel"/>
    <w:tmpl w:val="C7A8ED0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7622FB"/>
    <w:multiLevelType w:val="multilevel"/>
    <w:tmpl w:val="6244379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447F75"/>
    <w:multiLevelType w:val="multilevel"/>
    <w:tmpl w:val="1A767A52"/>
    <w:styleLink w:val="CurrentList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D80D10"/>
    <w:multiLevelType w:val="multilevel"/>
    <w:tmpl w:val="B3E4ABB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0530D69"/>
    <w:multiLevelType w:val="multilevel"/>
    <w:tmpl w:val="2E246EE8"/>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6AA5423"/>
    <w:multiLevelType w:val="multilevel"/>
    <w:tmpl w:val="33FE264C"/>
    <w:styleLink w:val="CurrentList1"/>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AA6B37"/>
    <w:multiLevelType w:val="multilevel"/>
    <w:tmpl w:val="EE2E04C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1" w15:restartNumberingAfterBreak="0">
    <w:nsid w:val="6BFB41FF"/>
    <w:multiLevelType w:val="multilevel"/>
    <w:tmpl w:val="35AA1998"/>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B85016F"/>
    <w:multiLevelType w:val="multilevel"/>
    <w:tmpl w:val="7F264062"/>
    <w:styleLink w:val="LFO2"/>
    <w:lvl w:ilvl="0">
      <w:start w:val="1"/>
      <w:numFmt w:val="decimal"/>
      <w:pStyle w:val="DefinitionListLevel2"/>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6"/>
  </w:num>
  <w:num w:numId="3">
    <w:abstractNumId w:val="1"/>
  </w:num>
  <w:num w:numId="4">
    <w:abstractNumId w:val="12"/>
  </w:num>
  <w:num w:numId="5">
    <w:abstractNumId w:val="11"/>
  </w:num>
  <w:num w:numId="6">
    <w:abstractNumId w:val="10"/>
  </w:num>
  <w:num w:numId="7">
    <w:abstractNumId w:val="0"/>
  </w:num>
  <w:num w:numId="8">
    <w:abstractNumId w:val="2"/>
  </w:num>
  <w:num w:numId="9">
    <w:abstractNumId w:val="7"/>
  </w:num>
  <w:num w:numId="10">
    <w:abstractNumId w:val="8"/>
  </w:num>
  <w:num w:numId="11">
    <w:abstractNumId w:val="3"/>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67"/>
    <w:rsid w:val="000C3F70"/>
    <w:rsid w:val="004B5D67"/>
    <w:rsid w:val="00832C66"/>
    <w:rsid w:val="00B276E4"/>
    <w:rsid w:val="00E419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4617"/>
  <w15:docId w15:val="{B74B80B5-BD40-426B-AF31-21FEFEEF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single" w:sz="2" w:space="31" w:color="FFFFFF" w:shadow="1"/>
        <w:left w:val="single" w:sz="2" w:space="31" w:color="FFFFFF" w:shadow="1"/>
        <w:bottom w:val="single" w:sz="2" w:space="31" w:color="FFFFFF" w:shadow="1"/>
        <w:right w:val="single" w:sz="2" w:space="31" w:color="FFFFFF" w:shadow="1"/>
      </w:pBdr>
      <w:suppressAutoHyphens/>
    </w:pPr>
    <w:rPr>
      <w:color w:val="000000"/>
    </w:rPr>
  </w:style>
  <w:style w:type="paragraph" w:styleId="Heading1">
    <w:name w:val="heading 1"/>
    <w:basedOn w:val="Normal"/>
    <w:next w:val="Normal"/>
    <w:uiPriority w:val="9"/>
    <w:qFormat/>
    <w:pPr>
      <w:keepNext/>
      <w:keepLines/>
      <w:pBdr>
        <w:top w:val="none" w:sz="0" w:space="0" w:color="auto"/>
        <w:left w:val="none" w:sz="0" w:space="0" w:color="auto"/>
        <w:bottom w:val="none" w:sz="0" w:space="0" w:color="auto"/>
        <w:right w:val="none" w:sz="0" w:space="0" w:color="auto"/>
      </w:pBdr>
      <w:spacing w:before="240" w:after="0" w:line="256" w:lineRule="auto"/>
      <w:outlineLvl w:val="0"/>
    </w:pPr>
    <w:rPr>
      <w:rFonts w:ascii="Calibri Light" w:eastAsia="Times New Roman" w:hAnsi="Calibri Light" w:cs="Times New Roman"/>
      <w:color w:val="2F5496"/>
      <w:sz w:val="32"/>
      <w:szCs w:val="32"/>
      <w:lang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rPr>
      <w:rFonts w:ascii="Calibri" w:eastAsia="Calibri" w:hAnsi="Calibri" w:cs="Calibri"/>
      <w:b/>
      <w:color w:val="000000"/>
      <w:sz w:val="36"/>
      <w:szCs w:val="36"/>
      <w:lang w:eastAsia="en-GB"/>
    </w:rPr>
  </w:style>
  <w:style w:type="character" w:customStyle="1" w:styleId="Heading3Char">
    <w:name w:val="Heading 3 Char"/>
    <w:basedOn w:val="DefaultParagraphFont"/>
    <w:rPr>
      <w:rFonts w:ascii="Calibri" w:eastAsia="Calibri" w:hAnsi="Calibri" w:cs="Calibri"/>
      <w:b/>
      <w:color w:val="000000"/>
      <w:sz w:val="28"/>
      <w:szCs w:val="28"/>
      <w:lang w:eastAsia="en-GB"/>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color w:val="000000"/>
      <w:sz w:val="20"/>
      <w:szCs w:val="20"/>
      <w:lang w:eastAsia="en-GB"/>
    </w:rPr>
  </w:style>
  <w:style w:type="paragraph" w:styleId="Footer">
    <w:name w:val="footer"/>
    <w:basedOn w:val="Normal"/>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Pr>
      <w:rFonts w:cs="Times New Roman"/>
      <w:color w:val="auto"/>
      <w:lang w:eastAsia="en-US"/>
    </w:rPr>
  </w:style>
  <w:style w:type="character" w:customStyle="1" w:styleId="FooterChar">
    <w:name w:val="Footer Char"/>
    <w:basedOn w:val="DefaultParagraphFont"/>
  </w:style>
  <w:style w:type="paragraph" w:customStyle="1" w:styleId="GPSL1Numbered">
    <w:name w:val="GPS L1 Numbered"/>
    <w:basedOn w:val="Normal"/>
    <w:pPr>
      <w:keepNext/>
      <w:spacing w:before="120" w:after="240" w:line="240" w:lineRule="auto"/>
    </w:pPr>
    <w:rPr>
      <w:rFonts w:ascii="Times New Roman" w:hAnsi="Times New Roman"/>
      <w:b/>
      <w:sz w:val="24"/>
    </w:rPr>
  </w:style>
  <w:style w:type="paragraph" w:customStyle="1" w:styleId="GPSL2numberedclause">
    <w:name w:val="GPS L2 numbered clause"/>
    <w:basedOn w:val="Normal"/>
    <w:pPr>
      <w:spacing w:before="120" w:after="120" w:line="240" w:lineRule="auto"/>
    </w:pPr>
    <w:rPr>
      <w:rFonts w:ascii="Times New Roman" w:hAnsi="Times New Roman"/>
      <w:sz w:val="24"/>
    </w:rPr>
  </w:style>
  <w:style w:type="paragraph" w:customStyle="1" w:styleId="GPSL3NUMBERED">
    <w:name w:val="GPS L3 NUMBERED"/>
    <w:basedOn w:val="Normal"/>
    <w:pPr>
      <w:spacing w:before="120" w:after="120" w:line="240" w:lineRule="auto"/>
    </w:pPr>
    <w:rPr>
      <w:rFonts w:ascii="Times New Roman" w:hAnsi="Times New Roman"/>
      <w:sz w:val="24"/>
    </w:rPr>
  </w:style>
  <w:style w:type="paragraph" w:customStyle="1" w:styleId="GPSL4numbered">
    <w:name w:val="GPS L4 numbered"/>
    <w:basedOn w:val="Normal"/>
    <w:rPr>
      <w:rFonts w:ascii="Times New Roman" w:hAnsi="Times New Roman"/>
      <w:sz w:val="24"/>
    </w:rPr>
  </w:style>
  <w:style w:type="paragraph" w:customStyle="1" w:styleId="StdBodyText">
    <w:name w:val="Std Body Tex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rPr>
      <w:rFonts w:ascii="Arial" w:eastAsia="Times New Roman" w:hAnsi="Arial" w:cs="Times New Roman"/>
      <w:b/>
      <w:sz w:val="24"/>
      <w:szCs w:val="24"/>
      <w:lang w:eastAsia="en-GB"/>
    </w:rPr>
  </w:style>
  <w:style w:type="paragraph" w:customStyle="1" w:styleId="DefinitionList">
    <w:name w:val="Definition Lis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4"/>
      </w:numPr>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color w:val="000000"/>
      <w:sz w:val="18"/>
      <w:szCs w:val="18"/>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rPr>
      <w:color w:val="605E5C"/>
      <w:shd w:val="clear" w:color="auto" w:fill="E1DFDD"/>
    </w:rPr>
  </w:style>
  <w:style w:type="paragraph" w:styleId="Revision">
    <w:name w:val="Revision"/>
    <w:pPr>
      <w:suppressAutoHyphens/>
      <w:spacing w:after="0" w:line="240" w:lineRule="auto"/>
    </w:pPr>
    <w:rPr>
      <w:color w:val="000000"/>
    </w:rPr>
  </w:style>
  <w:style w:type="character" w:styleId="FollowedHyperlink">
    <w:name w:val="FollowedHyperlink"/>
    <w:basedOn w:val="DefaultParagraphFont"/>
    <w:rPr>
      <w:color w:val="954F72"/>
      <w:u w:val="single"/>
    </w:rPr>
  </w:style>
  <w:style w:type="paragraph" w:styleId="NormalWeb">
    <w:name w:val="Normal (Web)"/>
    <w:basedOn w:val="Normal"/>
    <w:pPr>
      <w:pBdr>
        <w:top w:val="none" w:sz="0" w:space="0" w:color="auto"/>
        <w:left w:val="none" w:sz="0" w:space="0" w:color="auto"/>
        <w:bottom w:val="none" w:sz="0" w:space="0" w:color="auto"/>
        <w:right w:val="none" w:sz="0" w:space="0" w:color="auto"/>
      </w:pBdr>
      <w:spacing w:before="100" w:after="100"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ListParagraphChar">
    <w:name w:val="List Paragraph Char"/>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CurrentList1">
    <w:name w:val="Current List1"/>
    <w:basedOn w:val="NoList"/>
    <w:pPr>
      <w:numPr>
        <w:numId w:val="1"/>
      </w:numPr>
    </w:pPr>
  </w:style>
  <w:style w:type="numbering" w:customStyle="1" w:styleId="CurrentList2">
    <w:name w:val="Current List2"/>
    <w:basedOn w:val="NoList"/>
    <w:pPr>
      <w:numPr>
        <w:numId w:val="2"/>
      </w:numPr>
    </w:pPr>
  </w:style>
  <w:style w:type="numbering" w:customStyle="1" w:styleId="CurrentList3">
    <w:name w:val="Current List3"/>
    <w:basedOn w:val="NoList"/>
    <w:pPr>
      <w:numPr>
        <w:numId w:val="3"/>
      </w:numPr>
    </w:pPr>
  </w:style>
  <w:style w:type="numbering" w:customStyle="1" w:styleId="LFO2">
    <w:name w:val="LFO2"/>
    <w:basedOn w:val="NoList"/>
    <w:pPr>
      <w:numPr>
        <w:numId w:val="4"/>
      </w:numPr>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163536/Supplier_Code_of_Conduct_v3.pdf" TargetMode="External"/><Relationship Id="rId3" Type="http://schemas.openxmlformats.org/officeDocument/2006/relationships/settings" Target="settings.xml"/><Relationship Id="rId7" Type="http://schemas.openxmlformats.org/officeDocument/2006/relationships/hyperlink" Target="https://www.gov.uk/government/collections/sustainable-procurement-the-government-buying-standards-gb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Paige Elliott</cp:lastModifiedBy>
  <cp:revision>3</cp:revision>
  <dcterms:created xsi:type="dcterms:W3CDTF">2024-10-25T10:32:00Z</dcterms:created>
  <dcterms:modified xsi:type="dcterms:W3CDTF">2024-11-11T14:44:00Z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